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CE9E3" w14:textId="7131D67D" w:rsidR="005D5234" w:rsidRPr="005B652E" w:rsidRDefault="005D5234" w:rsidP="005D5234">
      <w:pPr>
        <w:pStyle w:val="Tekstpodstawowy"/>
        <w:spacing w:line="240" w:lineRule="auto"/>
        <w:jc w:val="right"/>
        <w:rPr>
          <w:rFonts w:asciiTheme="minorHAnsi" w:hAnsiTheme="minorHAnsi"/>
          <w:b/>
          <w:sz w:val="22"/>
          <w:szCs w:val="22"/>
        </w:rPr>
      </w:pPr>
      <w:r w:rsidRPr="005B652E">
        <w:rPr>
          <w:rFonts w:asciiTheme="minorHAnsi" w:hAnsiTheme="minorHAnsi"/>
          <w:b/>
          <w:sz w:val="22"/>
          <w:szCs w:val="22"/>
        </w:rPr>
        <w:t xml:space="preserve">Załącznik nr </w:t>
      </w:r>
      <w:r w:rsidR="002A79C6">
        <w:rPr>
          <w:rFonts w:asciiTheme="minorHAnsi" w:hAnsiTheme="minorHAnsi"/>
          <w:b/>
          <w:sz w:val="22"/>
          <w:szCs w:val="22"/>
        </w:rPr>
        <w:t>8</w:t>
      </w:r>
    </w:p>
    <w:p w14:paraId="0DA5A852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b/>
          <w:sz w:val="22"/>
          <w:szCs w:val="22"/>
        </w:rPr>
      </w:pPr>
      <w:r w:rsidRPr="005B652E">
        <w:rPr>
          <w:rFonts w:asciiTheme="minorHAnsi" w:hAnsiTheme="minorHAnsi"/>
          <w:b/>
          <w:sz w:val="22"/>
          <w:szCs w:val="22"/>
        </w:rPr>
        <w:t>Wymagania dotyczące procesu spawania</w:t>
      </w:r>
    </w:p>
    <w:p w14:paraId="27371933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</w:p>
    <w:p w14:paraId="07CE70FA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i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 xml:space="preserve">Spawacze, wykonujący spawanie rurociągów </w:t>
      </w:r>
      <w:proofErr w:type="spellStart"/>
      <w:r w:rsidRPr="005B652E">
        <w:rPr>
          <w:rFonts w:asciiTheme="minorHAnsi" w:hAnsiTheme="minorHAnsi"/>
          <w:sz w:val="22"/>
          <w:szCs w:val="22"/>
        </w:rPr>
        <w:t>m.s.c</w:t>
      </w:r>
      <w:proofErr w:type="spellEnd"/>
      <w:r w:rsidRPr="005B652E">
        <w:rPr>
          <w:rFonts w:asciiTheme="minorHAnsi" w:hAnsiTheme="minorHAnsi"/>
          <w:sz w:val="22"/>
          <w:szCs w:val="22"/>
        </w:rPr>
        <w:t xml:space="preserve">. powinni posiadać odpowiednie kwalifikacje zgodnie z normą </w:t>
      </w:r>
      <w:hyperlink r:id="rId5" w:history="1">
        <w:r w:rsidRPr="005B652E">
          <w:rPr>
            <w:rFonts w:asciiTheme="minorHAnsi" w:hAnsiTheme="minorHAnsi"/>
            <w:sz w:val="22"/>
            <w:szCs w:val="22"/>
          </w:rPr>
          <w:t>PN-EN 287-1:200</w:t>
        </w:r>
      </w:hyperlink>
      <w:r w:rsidRPr="005B652E">
        <w:rPr>
          <w:rFonts w:asciiTheme="minorHAnsi" w:hAnsiTheme="minorHAnsi"/>
          <w:sz w:val="22"/>
          <w:szCs w:val="22"/>
        </w:rPr>
        <w:t>7, uprawniające do stosowania danych metod spawania, grup materiałów, zakresu średnic i metod spawania. Spawacze obsługujący mechaniczne urządzenia do spawania muszą posiadać kwalifikacje zgodnie z normą PN-EN 1418:2000</w:t>
      </w:r>
      <w:r w:rsidRPr="005B652E">
        <w:rPr>
          <w:rFonts w:asciiTheme="minorHAnsi" w:hAnsiTheme="minorHAnsi"/>
          <w:i/>
          <w:sz w:val="22"/>
          <w:szCs w:val="22"/>
        </w:rPr>
        <w:t>.</w:t>
      </w:r>
    </w:p>
    <w:p w14:paraId="15D0EA2F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 xml:space="preserve">Personel nadzorujący wykonanie prac spawalniczych jest odpowiedzialny za wszystkie prace spawalnicze i kontrole. Personel ten musi mieć kwalifikacje zgodnie z normą </w:t>
      </w:r>
      <w:hyperlink r:id="rId6" w:history="1">
        <w:r w:rsidRPr="005B652E">
          <w:rPr>
            <w:rFonts w:asciiTheme="minorHAnsi" w:hAnsiTheme="minorHAnsi"/>
            <w:sz w:val="22"/>
            <w:szCs w:val="22"/>
          </w:rPr>
          <w:t>PN-EN ISO 14731:2006</w:t>
        </w:r>
      </w:hyperlink>
      <w:r w:rsidRPr="005B652E">
        <w:rPr>
          <w:rFonts w:asciiTheme="minorHAnsi" w:hAnsiTheme="minorHAnsi"/>
          <w:sz w:val="22"/>
          <w:szCs w:val="22"/>
        </w:rPr>
        <w:t xml:space="preserve">, odpowiednio do danych wymagań jakościowych określonych w grupie norm </w:t>
      </w:r>
      <w:hyperlink r:id="rId7" w:history="1">
        <w:r w:rsidRPr="005B652E">
          <w:rPr>
            <w:rFonts w:asciiTheme="minorHAnsi" w:hAnsiTheme="minorHAnsi"/>
            <w:sz w:val="22"/>
            <w:szCs w:val="22"/>
          </w:rPr>
          <w:t>PN-EN ISO 3834:2006</w:t>
        </w:r>
      </w:hyperlink>
      <w:r w:rsidRPr="005B652E">
        <w:rPr>
          <w:rFonts w:asciiTheme="minorHAnsi" w:hAnsiTheme="minorHAnsi"/>
          <w:sz w:val="22"/>
          <w:szCs w:val="22"/>
        </w:rPr>
        <w:t>.</w:t>
      </w:r>
    </w:p>
    <w:p w14:paraId="0AB4CBDE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 xml:space="preserve">Metody spawania muszą być określone i dopuszczone zgodnie z normami </w:t>
      </w:r>
      <w:hyperlink r:id="rId8" w:history="1">
        <w:r w:rsidRPr="005B652E">
          <w:rPr>
            <w:rFonts w:asciiTheme="minorHAnsi" w:hAnsiTheme="minorHAnsi"/>
            <w:sz w:val="22"/>
            <w:szCs w:val="22"/>
          </w:rPr>
          <w:t>PN-EN ISO 15609-1:2007</w:t>
        </w:r>
      </w:hyperlink>
      <w:r w:rsidRPr="005B652E">
        <w:rPr>
          <w:rFonts w:asciiTheme="minorHAnsi" w:hAnsiTheme="minorHAnsi"/>
          <w:sz w:val="22"/>
          <w:szCs w:val="22"/>
        </w:rPr>
        <w:t xml:space="preserve">, </w:t>
      </w:r>
      <w:hyperlink r:id="rId9" w:history="1">
        <w:r w:rsidRPr="005B652E">
          <w:rPr>
            <w:rFonts w:asciiTheme="minorHAnsi" w:hAnsiTheme="minorHAnsi"/>
            <w:sz w:val="22"/>
            <w:szCs w:val="22"/>
          </w:rPr>
          <w:t>PN-EN ISO 15609-2:2005</w:t>
        </w:r>
      </w:hyperlink>
      <w:r w:rsidRPr="005B652E">
        <w:rPr>
          <w:rFonts w:asciiTheme="minorHAnsi" w:hAnsiTheme="minorHAnsi"/>
          <w:sz w:val="22"/>
          <w:szCs w:val="22"/>
        </w:rPr>
        <w:t xml:space="preserve"> </w:t>
      </w:r>
    </w:p>
    <w:p w14:paraId="54FDBF5E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Przygotowanie rurociągów do spawania, stosowane elektrody i sposób wykonania spoin powinny być zgodne z dokumentacją techniczną,</w:t>
      </w:r>
    </w:p>
    <w:p w14:paraId="25A34A13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W przypadku braku lub niepełnego przedstawienia w dokumentacji technologii wykonania spoin, należy przestrzegać następujących zasad:</w:t>
      </w:r>
    </w:p>
    <w:p w14:paraId="045D74FA" w14:textId="77777777" w:rsidR="005D5234" w:rsidRPr="005B652E" w:rsidRDefault="005D5234" w:rsidP="005D5234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rury do spawania powinny być ustawione współosiowo,</w:t>
      </w:r>
    </w:p>
    <w:p w14:paraId="105D4588" w14:textId="77777777" w:rsidR="005D5234" w:rsidRPr="005B652E" w:rsidRDefault="005D5234" w:rsidP="005D5234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rurociągi należy montować i spawać z wykorzystaniem centrowników,</w:t>
      </w:r>
    </w:p>
    <w:p w14:paraId="65413A69" w14:textId="77777777" w:rsidR="005D5234" w:rsidRPr="005B652E" w:rsidRDefault="005D5234" w:rsidP="005D5234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zmiana kierunku osi (ukosowanie) na połączeniu rur stalowych może wynosić:</w:t>
      </w:r>
    </w:p>
    <w:tbl>
      <w:tblPr>
        <w:tblW w:w="0" w:type="auto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9"/>
        <w:gridCol w:w="497"/>
        <w:gridCol w:w="1418"/>
      </w:tblGrid>
      <w:tr w:rsidR="005D5234" w:rsidRPr="005B652E" w14:paraId="7628AD4F" w14:textId="77777777" w:rsidTr="009228C8">
        <w:tc>
          <w:tcPr>
            <w:tcW w:w="2069" w:type="dxa"/>
          </w:tcPr>
          <w:p w14:paraId="126ABD57" w14:textId="77777777" w:rsidR="005D5234" w:rsidRPr="005B652E" w:rsidRDefault="005D5234" w:rsidP="009228C8">
            <w:pPr>
              <w:jc w:val="right"/>
              <w:rPr>
                <w:rFonts w:asciiTheme="minorHAnsi" w:hAnsiTheme="minorHAnsi"/>
                <w:szCs w:val="22"/>
                <w:lang w:val="de-DE"/>
              </w:rPr>
            </w:pPr>
            <w:r w:rsidRPr="005B652E">
              <w:rPr>
                <w:rFonts w:asciiTheme="minorHAnsi" w:hAnsiTheme="minorHAnsi"/>
                <w:szCs w:val="22"/>
                <w:lang w:val="de-DE"/>
              </w:rPr>
              <w:t xml:space="preserve">DN20 </w:t>
            </w:r>
            <w:r w:rsidRPr="005B652E">
              <w:rPr>
                <w:rFonts w:asciiTheme="minorHAnsi" w:hAnsiTheme="minorHAnsi"/>
                <w:szCs w:val="22"/>
              </w:rPr>
              <w:sym w:font="Symbol" w:char="F0B8"/>
            </w:r>
            <w:r w:rsidRPr="005B652E">
              <w:rPr>
                <w:rFonts w:asciiTheme="minorHAnsi" w:hAnsiTheme="minorHAnsi"/>
                <w:szCs w:val="22"/>
                <w:lang w:val="de-DE"/>
              </w:rPr>
              <w:t xml:space="preserve"> 250</w:t>
            </w:r>
          </w:p>
        </w:tc>
        <w:tc>
          <w:tcPr>
            <w:tcW w:w="497" w:type="dxa"/>
          </w:tcPr>
          <w:p w14:paraId="23EE7B5D" w14:textId="77777777" w:rsidR="005D5234" w:rsidRPr="005B652E" w:rsidRDefault="005D5234" w:rsidP="009228C8">
            <w:pPr>
              <w:rPr>
                <w:rFonts w:asciiTheme="minorHAnsi" w:hAnsiTheme="minorHAnsi"/>
                <w:szCs w:val="22"/>
                <w:lang w:val="de-DE"/>
              </w:rPr>
            </w:pPr>
          </w:p>
        </w:tc>
        <w:tc>
          <w:tcPr>
            <w:tcW w:w="1418" w:type="dxa"/>
          </w:tcPr>
          <w:p w14:paraId="0EFF6093" w14:textId="77777777" w:rsidR="005D5234" w:rsidRPr="005B652E" w:rsidRDefault="005D5234" w:rsidP="009228C8">
            <w:pPr>
              <w:rPr>
                <w:rFonts w:asciiTheme="minorHAnsi" w:hAnsiTheme="minorHAnsi"/>
                <w:szCs w:val="22"/>
                <w:lang w:val="de-DE"/>
              </w:rPr>
            </w:pPr>
            <w:proofErr w:type="spellStart"/>
            <w:r w:rsidRPr="005B652E">
              <w:rPr>
                <w:rFonts w:asciiTheme="minorHAnsi" w:hAnsiTheme="minorHAnsi"/>
                <w:szCs w:val="22"/>
                <w:lang w:val="de-DE"/>
              </w:rPr>
              <w:t>max</w:t>
            </w:r>
            <w:proofErr w:type="spellEnd"/>
            <w:r w:rsidRPr="005B652E">
              <w:rPr>
                <w:rFonts w:asciiTheme="minorHAnsi" w:hAnsiTheme="minorHAnsi"/>
                <w:szCs w:val="22"/>
                <w:lang w:val="de-DE"/>
              </w:rPr>
              <w:t xml:space="preserve"> 2°</w:t>
            </w:r>
          </w:p>
        </w:tc>
      </w:tr>
      <w:tr w:rsidR="005D5234" w:rsidRPr="005B652E" w14:paraId="30FA3C2A" w14:textId="77777777" w:rsidTr="009228C8">
        <w:tc>
          <w:tcPr>
            <w:tcW w:w="2069" w:type="dxa"/>
          </w:tcPr>
          <w:p w14:paraId="118D9B99" w14:textId="77777777" w:rsidR="005D5234" w:rsidRPr="005B652E" w:rsidRDefault="005D5234" w:rsidP="009228C8">
            <w:pPr>
              <w:jc w:val="right"/>
              <w:rPr>
                <w:rFonts w:asciiTheme="minorHAnsi" w:hAnsiTheme="minorHAnsi"/>
                <w:szCs w:val="22"/>
                <w:lang w:val="de-DE"/>
              </w:rPr>
            </w:pPr>
            <w:r w:rsidRPr="005B652E">
              <w:rPr>
                <w:rFonts w:asciiTheme="minorHAnsi" w:hAnsiTheme="minorHAnsi"/>
                <w:szCs w:val="22"/>
                <w:lang w:val="de-DE"/>
              </w:rPr>
              <w:t>DN300</w:t>
            </w:r>
          </w:p>
        </w:tc>
        <w:tc>
          <w:tcPr>
            <w:tcW w:w="497" w:type="dxa"/>
          </w:tcPr>
          <w:p w14:paraId="009705A4" w14:textId="77777777" w:rsidR="005D5234" w:rsidRPr="005B652E" w:rsidRDefault="005D5234" w:rsidP="009228C8">
            <w:pPr>
              <w:rPr>
                <w:rFonts w:asciiTheme="minorHAnsi" w:hAnsiTheme="minorHAnsi"/>
                <w:szCs w:val="22"/>
                <w:lang w:val="de-DE"/>
              </w:rPr>
            </w:pPr>
          </w:p>
        </w:tc>
        <w:tc>
          <w:tcPr>
            <w:tcW w:w="1418" w:type="dxa"/>
          </w:tcPr>
          <w:p w14:paraId="3CC01BE0" w14:textId="77777777" w:rsidR="005D5234" w:rsidRPr="005B652E" w:rsidRDefault="005D5234" w:rsidP="009228C8">
            <w:pPr>
              <w:rPr>
                <w:rFonts w:asciiTheme="minorHAnsi" w:hAnsiTheme="minorHAnsi"/>
                <w:szCs w:val="22"/>
              </w:rPr>
            </w:pPr>
            <w:r w:rsidRPr="005B652E">
              <w:rPr>
                <w:rFonts w:asciiTheme="minorHAnsi" w:hAnsiTheme="minorHAnsi"/>
                <w:szCs w:val="22"/>
              </w:rPr>
              <w:t>max 1,5°</w:t>
            </w:r>
          </w:p>
        </w:tc>
      </w:tr>
      <w:tr w:rsidR="005D5234" w:rsidRPr="005B652E" w14:paraId="795BC537" w14:textId="77777777" w:rsidTr="009228C8">
        <w:tc>
          <w:tcPr>
            <w:tcW w:w="2069" w:type="dxa"/>
          </w:tcPr>
          <w:p w14:paraId="0AE2E9C2" w14:textId="77777777" w:rsidR="005D5234" w:rsidRPr="005B652E" w:rsidRDefault="005D5234" w:rsidP="009228C8">
            <w:pPr>
              <w:jc w:val="right"/>
              <w:rPr>
                <w:rFonts w:asciiTheme="minorHAnsi" w:hAnsiTheme="minorHAnsi"/>
                <w:szCs w:val="22"/>
              </w:rPr>
            </w:pPr>
            <w:r w:rsidRPr="005B652E">
              <w:rPr>
                <w:rFonts w:asciiTheme="minorHAnsi" w:hAnsiTheme="minorHAnsi"/>
                <w:szCs w:val="22"/>
              </w:rPr>
              <w:t>DN400</w:t>
            </w:r>
          </w:p>
        </w:tc>
        <w:tc>
          <w:tcPr>
            <w:tcW w:w="497" w:type="dxa"/>
          </w:tcPr>
          <w:p w14:paraId="3E2E6A6E" w14:textId="77777777" w:rsidR="005D5234" w:rsidRPr="005B652E" w:rsidRDefault="005D5234" w:rsidP="009228C8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418" w:type="dxa"/>
          </w:tcPr>
          <w:p w14:paraId="15B5C538" w14:textId="77777777" w:rsidR="005D5234" w:rsidRPr="005B652E" w:rsidRDefault="005D5234" w:rsidP="009228C8">
            <w:pPr>
              <w:rPr>
                <w:rFonts w:asciiTheme="minorHAnsi" w:hAnsiTheme="minorHAnsi"/>
                <w:szCs w:val="22"/>
              </w:rPr>
            </w:pPr>
            <w:r w:rsidRPr="005B652E">
              <w:rPr>
                <w:rFonts w:asciiTheme="minorHAnsi" w:hAnsiTheme="minorHAnsi"/>
                <w:szCs w:val="22"/>
              </w:rPr>
              <w:t xml:space="preserve">max 1° </w:t>
            </w:r>
          </w:p>
        </w:tc>
      </w:tr>
      <w:tr w:rsidR="005D5234" w:rsidRPr="005B652E" w14:paraId="06BAE2E3" w14:textId="77777777" w:rsidTr="009228C8">
        <w:tc>
          <w:tcPr>
            <w:tcW w:w="2069" w:type="dxa"/>
          </w:tcPr>
          <w:p w14:paraId="50A9C0F2" w14:textId="77777777" w:rsidR="005D5234" w:rsidRPr="005B652E" w:rsidRDefault="005D5234" w:rsidP="009228C8">
            <w:pPr>
              <w:jc w:val="right"/>
              <w:rPr>
                <w:rFonts w:asciiTheme="minorHAnsi" w:hAnsiTheme="minorHAnsi"/>
                <w:szCs w:val="22"/>
              </w:rPr>
            </w:pPr>
            <w:r w:rsidRPr="005B652E">
              <w:rPr>
                <w:rFonts w:asciiTheme="minorHAnsi" w:hAnsiTheme="minorHAnsi"/>
                <w:szCs w:val="22"/>
              </w:rPr>
              <w:t>&gt; DN500</w:t>
            </w:r>
          </w:p>
        </w:tc>
        <w:tc>
          <w:tcPr>
            <w:tcW w:w="497" w:type="dxa"/>
          </w:tcPr>
          <w:p w14:paraId="1B5BE865" w14:textId="77777777" w:rsidR="005D5234" w:rsidRPr="005B652E" w:rsidRDefault="005D5234" w:rsidP="009228C8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418" w:type="dxa"/>
          </w:tcPr>
          <w:p w14:paraId="2FEF346C" w14:textId="77777777" w:rsidR="005D5234" w:rsidRPr="005B652E" w:rsidRDefault="005D5234" w:rsidP="009228C8">
            <w:pPr>
              <w:rPr>
                <w:rFonts w:asciiTheme="minorHAnsi" w:hAnsiTheme="minorHAnsi"/>
                <w:szCs w:val="22"/>
              </w:rPr>
            </w:pPr>
            <w:r w:rsidRPr="005B652E">
              <w:rPr>
                <w:rFonts w:asciiTheme="minorHAnsi" w:hAnsiTheme="minorHAnsi"/>
                <w:szCs w:val="22"/>
              </w:rPr>
              <w:t>max 1°</w:t>
            </w:r>
          </w:p>
        </w:tc>
      </w:tr>
    </w:tbl>
    <w:p w14:paraId="4A9ED52A" w14:textId="77777777" w:rsidR="005D5234" w:rsidRPr="005B652E" w:rsidRDefault="005D5234" w:rsidP="005D5234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W uzasadnionych przypadkach potwierdzonych obliczeniami przeprowadzonymi przez projektanta rurociągu na prostych odcinkach s.c. dopuszcza się większe zmiany kierunku osi (ukosowania) na połączeniach rur stalowych.</w:t>
      </w:r>
    </w:p>
    <w:p w14:paraId="4A6476A9" w14:textId="77777777" w:rsidR="005D5234" w:rsidRPr="005B652E" w:rsidRDefault="005D5234" w:rsidP="005D5234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w pobliżu podpór stałych oraz osiowych kompensatorów mieszkowych (w odległościach mniejszych od 12 metrów) nie wolno zmieniać kierunku osi spawanych rur,</w:t>
      </w:r>
    </w:p>
    <w:p w14:paraId="0B291966" w14:textId="3F7B5B98" w:rsidR="005D5234" w:rsidRPr="005B652E" w:rsidRDefault="005D5234" w:rsidP="005D5234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 xml:space="preserve">rurociągi o średnicy nominalnej DN ≤ 80 o grubości ścianki g = max 3,2 mm można spawać </w:t>
      </w:r>
      <w:proofErr w:type="spellStart"/>
      <w:r w:rsidRPr="005B652E">
        <w:rPr>
          <w:rFonts w:asciiTheme="minorHAnsi" w:hAnsiTheme="minorHAnsi" w:cs="Arial"/>
          <w:szCs w:val="22"/>
        </w:rPr>
        <w:t>acetylenowo-tlenowo</w:t>
      </w:r>
      <w:proofErr w:type="spellEnd"/>
      <w:r w:rsidR="00D42F4C">
        <w:rPr>
          <w:rFonts w:asciiTheme="minorHAnsi" w:hAnsiTheme="minorHAnsi" w:cs="Arial"/>
          <w:szCs w:val="22"/>
        </w:rPr>
        <w:t xml:space="preserve"> </w:t>
      </w:r>
      <w:bookmarkStart w:id="0" w:name="_GoBack"/>
      <w:r w:rsidR="00D42F4C" w:rsidRPr="0021114C">
        <w:rPr>
          <w:rFonts w:asciiTheme="minorHAnsi" w:hAnsiTheme="minorHAnsi" w:cs="Arial"/>
          <w:szCs w:val="22"/>
        </w:rPr>
        <w:t>(311)</w:t>
      </w:r>
      <w:r w:rsidRPr="0021114C">
        <w:rPr>
          <w:rFonts w:asciiTheme="minorHAnsi" w:hAnsiTheme="minorHAnsi" w:cs="Arial"/>
          <w:szCs w:val="22"/>
        </w:rPr>
        <w:t>,</w:t>
      </w:r>
      <w:bookmarkEnd w:id="0"/>
    </w:p>
    <w:p w14:paraId="42C01607" w14:textId="77777777" w:rsidR="005D5234" w:rsidRPr="005B652E" w:rsidRDefault="005D5234" w:rsidP="005D5234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>po wykonaniu każdej warstwy spoiny należy usunąć żużel, a spoinę oczyścić mechanicznie (szlifierką) lub szczotką drucianą. W przypadku spawania elektrodą rutylowo –zasadową konieczne jest użycie szlifierki,</w:t>
      </w:r>
    </w:p>
    <w:p w14:paraId="5E19D851" w14:textId="00F8B96E" w:rsidR="005D5234" w:rsidRPr="005B652E" w:rsidRDefault="005D5234" w:rsidP="005D5234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 xml:space="preserve">rurociągi o średnicy nominalnej DN &gt; </w:t>
      </w:r>
      <w:r w:rsidR="00D42F4C">
        <w:rPr>
          <w:rFonts w:asciiTheme="minorHAnsi" w:hAnsiTheme="minorHAnsi" w:cs="Arial"/>
          <w:szCs w:val="22"/>
        </w:rPr>
        <w:t>80</w:t>
      </w:r>
      <w:r w:rsidR="00D42F4C" w:rsidRPr="00D42F4C">
        <w:rPr>
          <w:rFonts w:asciiTheme="minorHAnsi" w:hAnsiTheme="minorHAnsi" w:cs="Arial"/>
          <w:szCs w:val="22"/>
        </w:rPr>
        <w:t xml:space="preserve"> </w:t>
      </w:r>
      <w:r w:rsidR="00D42F4C" w:rsidRPr="0021114C">
        <w:rPr>
          <w:rFonts w:asciiTheme="minorHAnsi" w:hAnsiTheme="minorHAnsi" w:cs="Arial"/>
          <w:szCs w:val="22"/>
        </w:rPr>
        <w:t>i grubości ścianki g &gt;3,2 mm</w:t>
      </w:r>
      <w:r w:rsidRPr="0021114C">
        <w:rPr>
          <w:rFonts w:asciiTheme="minorHAnsi" w:hAnsiTheme="minorHAnsi" w:cs="Arial"/>
          <w:szCs w:val="22"/>
        </w:rPr>
        <w:t xml:space="preserve"> </w:t>
      </w:r>
      <w:r w:rsidRPr="005B652E">
        <w:rPr>
          <w:rFonts w:asciiTheme="minorHAnsi" w:hAnsiTheme="minorHAnsi" w:cs="Arial"/>
          <w:szCs w:val="22"/>
        </w:rPr>
        <w:t>należy spawać elektrycznie</w:t>
      </w:r>
      <w:r w:rsidRPr="00D42F4C">
        <w:rPr>
          <w:rFonts w:asciiTheme="minorHAnsi" w:hAnsiTheme="minorHAnsi" w:cs="Arial"/>
          <w:strike/>
          <w:szCs w:val="22"/>
        </w:rPr>
        <w:t>)</w:t>
      </w:r>
      <w:r w:rsidRPr="005B652E">
        <w:rPr>
          <w:rFonts w:asciiTheme="minorHAnsi" w:hAnsiTheme="minorHAnsi" w:cs="Arial"/>
          <w:szCs w:val="22"/>
        </w:rPr>
        <w:t xml:space="preserve"> - gwarantującą uzyskanie wymaganej jakości i wytrzymałości spoin.</w:t>
      </w:r>
    </w:p>
    <w:p w14:paraId="208C8A19" w14:textId="77777777" w:rsidR="005D5234" w:rsidRPr="005B652E" w:rsidRDefault="005D5234" w:rsidP="005D5234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 xml:space="preserve">należy zapewnić przygotowanie krawędzi spawanych zgodnie z normą </w:t>
      </w:r>
      <w:r w:rsidRPr="005B652E">
        <w:rPr>
          <w:rFonts w:asciiTheme="minorHAnsi" w:hAnsiTheme="minorHAnsi" w:cs="Arial"/>
          <w:szCs w:val="22"/>
        </w:rPr>
        <w:br/>
        <w:t>PN-ISO 6761:1996,</w:t>
      </w:r>
    </w:p>
    <w:p w14:paraId="4A9A9F6C" w14:textId="77777777" w:rsidR="005D5234" w:rsidRPr="005B652E" w:rsidRDefault="005D5234" w:rsidP="005D5234">
      <w:pPr>
        <w:pStyle w:val="BodyText21"/>
        <w:numPr>
          <w:ilvl w:val="1"/>
          <w:numId w:val="2"/>
        </w:numPr>
        <w:tabs>
          <w:tab w:val="clear" w:pos="900"/>
          <w:tab w:val="clear" w:pos="2061"/>
          <w:tab w:val="num" w:pos="709"/>
        </w:tabs>
        <w:spacing w:line="240" w:lineRule="auto"/>
        <w:ind w:left="709" w:hanging="709"/>
        <w:rPr>
          <w:rFonts w:asciiTheme="minorHAnsi" w:hAnsiTheme="minorHAnsi" w:cs="Arial"/>
          <w:szCs w:val="22"/>
        </w:rPr>
      </w:pPr>
      <w:r w:rsidRPr="005B652E">
        <w:rPr>
          <w:rFonts w:asciiTheme="minorHAnsi" w:hAnsiTheme="minorHAnsi" w:cs="Arial"/>
          <w:szCs w:val="22"/>
        </w:rPr>
        <w:t xml:space="preserve">elektrody do spawania powinny być stosowane zgodnie z kartą technologiczną spawania i odpowiadać wymaganiom norm: PN-91/M-69430, </w:t>
      </w:r>
      <w:hyperlink r:id="rId10" w:history="1">
        <w:r w:rsidRPr="005B652E">
          <w:rPr>
            <w:rFonts w:asciiTheme="minorHAnsi" w:hAnsiTheme="minorHAnsi" w:cs="Arial"/>
            <w:szCs w:val="22"/>
          </w:rPr>
          <w:t>PN-EN ISO 2560:2006</w:t>
        </w:r>
      </w:hyperlink>
      <w:r w:rsidRPr="005B652E">
        <w:rPr>
          <w:rFonts w:asciiTheme="minorHAnsi" w:hAnsiTheme="minorHAnsi" w:cs="Arial"/>
          <w:szCs w:val="22"/>
        </w:rPr>
        <w:t xml:space="preserve">, PN-79/E-69010, </w:t>
      </w:r>
      <w:hyperlink r:id="rId11" w:history="1">
        <w:r w:rsidRPr="005B652E">
          <w:rPr>
            <w:rFonts w:asciiTheme="minorHAnsi" w:hAnsiTheme="minorHAnsi" w:cs="Arial"/>
            <w:szCs w:val="22"/>
          </w:rPr>
          <w:t>PN-EN ISO 17632:2008</w:t>
        </w:r>
      </w:hyperlink>
      <w:r w:rsidRPr="005B652E">
        <w:rPr>
          <w:rFonts w:asciiTheme="minorHAnsi" w:hAnsiTheme="minorHAnsi" w:cs="Arial"/>
          <w:szCs w:val="22"/>
        </w:rPr>
        <w:t xml:space="preserve">, </w:t>
      </w:r>
      <w:hyperlink r:id="rId12" w:history="1">
        <w:r w:rsidRPr="005B652E">
          <w:rPr>
            <w:rFonts w:asciiTheme="minorHAnsi" w:hAnsiTheme="minorHAnsi" w:cs="Arial"/>
            <w:szCs w:val="22"/>
          </w:rPr>
          <w:t>PN-EN ISO 14343:2007</w:t>
        </w:r>
      </w:hyperlink>
      <w:r w:rsidRPr="005B652E">
        <w:rPr>
          <w:rFonts w:asciiTheme="minorHAnsi" w:hAnsiTheme="minorHAnsi" w:cs="Arial"/>
          <w:szCs w:val="22"/>
        </w:rPr>
        <w:t>, PN-EN 12536:2002, PN-EN ISO 6847:2005 oraz posiadać świadectwa odbioru 3.1.B zgodnie z normą PN-EN 10204:2006;</w:t>
      </w:r>
    </w:p>
    <w:p w14:paraId="094C5F66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Elektrody powinny posiadać atesty producenta.</w:t>
      </w:r>
    </w:p>
    <w:p w14:paraId="51F46EF8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Elektrody używane do wykonywania spoin na budowie muszą być przechowywane w odpowiednich warunkach, konieczne jest stosowanie suszarek i termosów do elektrod.</w:t>
      </w:r>
    </w:p>
    <w:p w14:paraId="295212A9" w14:textId="214F7999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Przy temperaturze poniżej 5°C należy zabezpieczyć spoinę przed nadmiernie szybkim stygnięciem.</w:t>
      </w:r>
    </w:p>
    <w:p w14:paraId="4CA2ACD1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Spoiny niespełniające określonych wymagań muszą być naprawione lub wycięte.</w:t>
      </w:r>
    </w:p>
    <w:p w14:paraId="17CCBC73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 xml:space="preserve"> Naprawa musi być wykonana przy zastosowaniu dopuszczonych metod spawania.</w:t>
      </w:r>
    </w:p>
    <w:p w14:paraId="2466382F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Przed rozpoczęciem spawania należy upewnić się, czy wszystkie niezbędne elementy (np. mufy, pierścienie uszczelniające) zostały nasunięte na rury.</w:t>
      </w:r>
    </w:p>
    <w:p w14:paraId="00862397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lastRenderedPageBreak/>
        <w:t>Przed rozpoczęciem spawania elementów preizolowanych ze sobą należy sprawdzić, czy przewody systemu kontrolnego nie są uszkodzone (przerwane).</w:t>
      </w:r>
    </w:p>
    <w:p w14:paraId="35101A65" w14:textId="77777777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W czasie spawania pianka izolacyjna elementów preizolowanych oraz płaszcz osłonowy muszą być zabezpieczone przed oddziaływaniem płomienia palnika, np. poprzez metalowe osłony.</w:t>
      </w:r>
    </w:p>
    <w:p w14:paraId="45D1538F" w14:textId="73FEDB2B" w:rsidR="005D5234" w:rsidRPr="005B652E" w:rsidRDefault="005D5234" w:rsidP="005D5234">
      <w:pPr>
        <w:pStyle w:val="Tekstpodstawowy"/>
        <w:spacing w:line="240" w:lineRule="auto"/>
        <w:rPr>
          <w:rFonts w:asciiTheme="minorHAnsi" w:hAnsiTheme="minorHAnsi"/>
          <w:sz w:val="22"/>
          <w:szCs w:val="22"/>
        </w:rPr>
      </w:pPr>
      <w:r w:rsidRPr="005B652E">
        <w:rPr>
          <w:rFonts w:asciiTheme="minorHAnsi" w:hAnsiTheme="minorHAnsi"/>
          <w:sz w:val="22"/>
          <w:szCs w:val="22"/>
        </w:rPr>
        <w:t>Po wykonaniu spawania należy przeprowadzić badania</w:t>
      </w:r>
      <w:r w:rsidR="00D42F4C">
        <w:rPr>
          <w:rFonts w:asciiTheme="minorHAnsi" w:hAnsiTheme="minorHAnsi"/>
          <w:sz w:val="22"/>
          <w:szCs w:val="22"/>
        </w:rPr>
        <w:t xml:space="preserve"> </w:t>
      </w:r>
      <w:r w:rsidR="00D42F4C">
        <w:rPr>
          <w:rFonts w:asciiTheme="minorHAnsi" w:hAnsiTheme="minorHAnsi"/>
          <w:color w:val="FF0000"/>
          <w:sz w:val="22"/>
          <w:szCs w:val="22"/>
        </w:rPr>
        <w:t>nieniszczące</w:t>
      </w:r>
      <w:r w:rsidRPr="005B652E">
        <w:rPr>
          <w:rFonts w:asciiTheme="minorHAnsi" w:hAnsiTheme="minorHAnsi"/>
          <w:sz w:val="22"/>
          <w:szCs w:val="22"/>
        </w:rPr>
        <w:t xml:space="preserve"> połączeń spawanych.</w:t>
      </w:r>
    </w:p>
    <w:p w14:paraId="0A7F6324" w14:textId="77777777" w:rsidR="00767322" w:rsidRPr="005D5234" w:rsidRDefault="00767322" w:rsidP="005D5234"/>
    <w:sectPr w:rsidR="00767322" w:rsidRPr="005D5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AB1855"/>
    <w:multiLevelType w:val="hybridMultilevel"/>
    <w:tmpl w:val="4EEAF5C4"/>
    <w:lvl w:ilvl="0" w:tplc="0415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17DE2148">
      <w:start w:val="1"/>
      <w:numFmt w:val="bullet"/>
      <w:lvlText w:val="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2" w:tplc="EB28057E">
      <w:start w:val="1"/>
      <w:numFmt w:val="decimal"/>
      <w:lvlText w:val="%3."/>
      <w:lvlJc w:val="left"/>
      <w:pPr>
        <w:tabs>
          <w:tab w:val="num" w:pos="2961"/>
        </w:tabs>
        <w:ind w:left="2961" w:hanging="360"/>
      </w:pPr>
      <w:rPr>
        <w:rFonts w:ascii="Calibri" w:hAnsi="Calibri" w:hint="default"/>
        <w:b w:val="0"/>
        <w:i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3501"/>
        </w:tabs>
        <w:ind w:left="350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21"/>
        </w:tabs>
        <w:ind w:left="422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41"/>
        </w:tabs>
        <w:ind w:left="49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61"/>
        </w:tabs>
        <w:ind w:left="56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81"/>
        </w:tabs>
        <w:ind w:left="63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01"/>
        </w:tabs>
        <w:ind w:left="7101" w:hanging="180"/>
      </w:pPr>
    </w:lvl>
  </w:abstractNum>
  <w:abstractNum w:abstractNumId="1" w15:restartNumberingAfterBreak="0">
    <w:nsid w:val="7C581CB3"/>
    <w:multiLevelType w:val="multilevel"/>
    <w:tmpl w:val="79BCAD2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486"/>
    <w:rsid w:val="0021114C"/>
    <w:rsid w:val="002A79C6"/>
    <w:rsid w:val="005D5234"/>
    <w:rsid w:val="00666486"/>
    <w:rsid w:val="00767322"/>
    <w:rsid w:val="00CB0AF8"/>
    <w:rsid w:val="00D4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E98B"/>
  <w15:docId w15:val="{F0ABE179-EDBA-440C-9ACA-7202EDCD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6486"/>
    <w:pPr>
      <w:spacing w:after="0" w:line="30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66486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6486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666486"/>
    <w:pPr>
      <w:tabs>
        <w:tab w:val="left" w:pos="900"/>
      </w:tabs>
      <w:spacing w:line="360" w:lineRule="atLeas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lep.pkn.pl/?a=show&amp;m=product&amp;pid=536960&amp;page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klep.pkn.pl/?m=product&amp;a=find&amp;pfsymbol=PN-EN+ISO+3834-1%3A2006" TargetMode="External"/><Relationship Id="rId12" Type="http://schemas.openxmlformats.org/officeDocument/2006/relationships/hyperlink" Target="https://sklep.pkn.pl/?m=product&amp;a=find&amp;pfsymbol=PN-EN+ISO+14343%3A2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klep.pkn.pl/?m=product&amp;a=find&amp;pfsymbol=PN-EN+ISO+14731%3A2006" TargetMode="External"/><Relationship Id="rId11" Type="http://schemas.openxmlformats.org/officeDocument/2006/relationships/hyperlink" Target="https://sklep.pkn.pl/?m=product&amp;a=find&amp;pfsymbol=PN-EN+ISO+17632%3A2008" TargetMode="External"/><Relationship Id="rId5" Type="http://schemas.openxmlformats.org/officeDocument/2006/relationships/hyperlink" Target="javascript:displayWindow('detale.php?j=pl&amp;n=PN-EN%20287-1:2005%20(U)&amp;nw=f&amp;t=&amp;tw=w&amp;i=&amp;il=20&amp;s=1',600,500)" TargetMode="External"/><Relationship Id="rId10" Type="http://schemas.openxmlformats.org/officeDocument/2006/relationships/hyperlink" Target="https://sklep.pkn.pl/?m=product&amp;a=find&amp;pfsymbol=PN-EN+ISO+2560%3A20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klep.pkn.pl/?a=show&amp;m=product&amp;pid=490018&amp;page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Koperski Piotr</dc:creator>
  <cp:lastModifiedBy>Lipiecki Przemysław - ADICT</cp:lastModifiedBy>
  <cp:revision>6</cp:revision>
  <dcterms:created xsi:type="dcterms:W3CDTF">2018-06-27T10:08:00Z</dcterms:created>
  <dcterms:modified xsi:type="dcterms:W3CDTF">2024-04-11T08:47:00Z</dcterms:modified>
</cp:coreProperties>
</file>